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1F" w:rsidRDefault="00AB08F6" w:rsidP="0073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D3268">
        <w:rPr>
          <w:rFonts w:ascii="Times New Roman" w:hAnsi="Times New Roman" w:cs="Times New Roman"/>
          <w:sz w:val="24"/>
          <w:szCs w:val="24"/>
          <w:lang w:val="sr-Cyrl-CS"/>
        </w:rPr>
        <w:t>На основу Решења стечајног судије П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>ривредног суда у Нишу</w:t>
      </w:r>
      <w:r w:rsidR="0054680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81363" w:rsidRPr="00C81363">
        <w:rPr>
          <w:rFonts w:ascii="Times New Roman" w:hAnsi="Times New Roman" w:cs="Times New Roman"/>
          <w:sz w:val="24"/>
          <w:szCs w:val="24"/>
          <w:lang w:val="sr-Cyrl-CS"/>
        </w:rPr>
        <w:t>Посл.Бр</w:t>
      </w:r>
      <w:proofErr w:type="spellEnd"/>
      <w:r w:rsidR="00C81363" w:rsidRPr="00C81363">
        <w:rPr>
          <w:rFonts w:ascii="Times New Roman" w:hAnsi="Times New Roman" w:cs="Times New Roman"/>
          <w:sz w:val="24"/>
          <w:szCs w:val="24"/>
          <w:lang w:val="sr-Cyrl-CS"/>
        </w:rPr>
        <w:t xml:space="preserve">. 2 Ст.989/2010 </w:t>
      </w:r>
      <w:r w:rsidR="00C81363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27.01.2011</w:t>
      </w:r>
      <w:r w:rsidR="009D3268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  <w:r w:rsidR="00C81363">
        <w:rPr>
          <w:rFonts w:ascii="Times New Roman" w:hAnsi="Times New Roman" w:cs="Times New Roman"/>
          <w:sz w:val="24"/>
          <w:szCs w:val="24"/>
          <w:lang w:val="sr-Cyrl-CS"/>
        </w:rPr>
        <w:t>а у складу са члановима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131,132 и 133 Закона о стечају 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(„Служб</w:t>
      </w:r>
      <w:r w:rsidR="00F55ED2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ени гласник РС“ бр. 104/2009 од 16. д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ецембра 2009. године)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 и Националним стандардом број 5 – Националним стандардом о начину и поступку уновчења</w:t>
      </w:r>
      <w:r w:rsidR="00D524B0">
        <w:rPr>
          <w:rFonts w:ascii="Times New Roman" w:hAnsi="Times New Roman" w:cs="Times New Roman"/>
          <w:sz w:val="24"/>
          <w:szCs w:val="24"/>
          <w:lang w:val="sr-Cyrl-CS"/>
        </w:rPr>
        <w:t xml:space="preserve"> имовине стечајног дужника </w:t>
      </w:r>
      <w:r w:rsidR="00D524B0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</w:t>
      </w:r>
      <w:r w:rsidR="00D524B0" w:rsidRPr="00D524B0">
        <w:rPr>
          <w:rFonts w:ascii="Times New Roman" w:hAnsi="Times New Roman" w:cs="Times New Roman"/>
          <w:i/>
          <w:sz w:val="24"/>
          <w:szCs w:val="24"/>
        </w:rPr>
        <w:t>у</w:t>
      </w:r>
      <w:r w:rsidR="004517C1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жбени гласник РС“ број 13/2010)</w:t>
      </w:r>
      <w:r w:rsidR="004517C1">
        <w:rPr>
          <w:rFonts w:ascii="Times New Roman" w:hAnsi="Times New Roman" w:cs="Times New Roman"/>
          <w:sz w:val="24"/>
          <w:szCs w:val="24"/>
          <w:lang w:val="sr-Cyrl-CS"/>
        </w:rPr>
        <w:t xml:space="preserve">, као и одредбама Закона о изменама и допунама Закона о Агенцији за лиценцирање стечајних </w:t>
      </w:r>
      <w:r w:rsidR="00A22E4E">
        <w:rPr>
          <w:rFonts w:ascii="Times New Roman" w:hAnsi="Times New Roman" w:cs="Times New Roman"/>
          <w:sz w:val="24"/>
          <w:szCs w:val="24"/>
          <w:lang w:val="sr-Cyrl-CS"/>
        </w:rPr>
        <w:t xml:space="preserve">управника </w:t>
      </w:r>
      <w:r w:rsidR="00A22E4E" w:rsidRPr="00D524B0">
        <w:rPr>
          <w:rFonts w:ascii="Times New Roman" w:hAnsi="Times New Roman" w:cs="Times New Roman"/>
          <w:i/>
          <w:sz w:val="24"/>
          <w:szCs w:val="24"/>
          <w:lang w:val="sr-Cyrl-CS"/>
        </w:rPr>
        <w:t>(„Службени гласник РС“ бр.89/2015)</w:t>
      </w:r>
      <w:r w:rsidR="00A22E4E">
        <w:rPr>
          <w:rFonts w:ascii="Times New Roman" w:hAnsi="Times New Roman" w:cs="Times New Roman"/>
          <w:sz w:val="24"/>
          <w:szCs w:val="24"/>
          <w:lang w:val="sr-Cyrl-CS"/>
        </w:rPr>
        <w:t xml:space="preserve">, Агенција за лиценцирање стечајних управника, као стечајни управник стечајног дужника </w:t>
      </w:r>
    </w:p>
    <w:p w:rsidR="00365F7D" w:rsidRDefault="00365F7D" w:rsidP="00732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45F2" w:rsidRDefault="005245F2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5245F2">
        <w:rPr>
          <w:rFonts w:ascii="Times New Roman" w:hAnsi="Times New Roman" w:cs="Times New Roman"/>
          <w:b/>
          <w:sz w:val="28"/>
          <w:szCs w:val="28"/>
          <w:lang w:val="sr-Cyrl-CS"/>
        </w:rPr>
        <w:t>АКЦИОНАРСКО ДРУШТВО ЗА ПРОИЗВОДЊУ, УНУТРАШЊУ И СПОЉНУ ТРГОВИНУ „КВАЛИТЕТ“, НИШ - У СТЕЧАЈУ, ул. Балканска бр. 2</w:t>
      </w:r>
      <w:r w:rsidR="00AB08F6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245F2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:rsidR="005245F2" w:rsidRDefault="005245F2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A22E4E" w:rsidRPr="003C2572" w:rsidRDefault="00A22E4E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ОГЛАШАВА</w:t>
      </w:r>
    </w:p>
    <w:p w:rsidR="00A22E4E" w:rsidRPr="003C2572" w:rsidRDefault="00A22E4E" w:rsidP="00A22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продају имовине стечајног дужника јавним надметањем</w:t>
      </w:r>
      <w:r w:rsidR="0021711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</w:t>
      </w:r>
      <w:r w:rsidR="00C328CF">
        <w:rPr>
          <w:rFonts w:ascii="Times New Roman" w:hAnsi="Times New Roman" w:cs="Times New Roman"/>
          <w:b/>
          <w:sz w:val="24"/>
          <w:szCs w:val="24"/>
          <w:lang w:val="sr-Cyrl-RS"/>
        </w:rPr>
        <w:t>т</w:t>
      </w:r>
      <w:proofErr w:type="spellStart"/>
      <w:r w:rsidR="00AB08F6">
        <w:rPr>
          <w:rFonts w:ascii="Times New Roman" w:hAnsi="Times New Roman" w:cs="Times New Roman"/>
          <w:b/>
          <w:sz w:val="24"/>
          <w:szCs w:val="24"/>
          <w:lang w:val="sr-Cyrl-CS"/>
        </w:rPr>
        <w:t>ри</w:t>
      </w:r>
      <w:proofErr w:type="spellEnd"/>
      <w:r w:rsidR="0021711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имовинске целине:</w:t>
      </w:r>
    </w:p>
    <w:p w:rsidR="006A0CC5" w:rsidRDefault="006A0CC5" w:rsidP="00A22E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842"/>
      </w:tblGrid>
      <w:tr w:rsidR="006A0CC5" w:rsidTr="006A0CC5">
        <w:trPr>
          <w:trHeight w:val="524"/>
        </w:trPr>
        <w:tc>
          <w:tcPr>
            <w:tcW w:w="5524" w:type="dxa"/>
          </w:tcPr>
          <w:p w:rsidR="006A0CC5" w:rsidRP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Oпис</w:t>
            </w:r>
          </w:p>
        </w:tc>
        <w:tc>
          <w:tcPr>
            <w:tcW w:w="1984" w:type="dxa"/>
          </w:tcPr>
          <w:p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Почетна цена</w:t>
            </w:r>
          </w:p>
          <w:p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(динара)</w:t>
            </w:r>
          </w:p>
        </w:tc>
        <w:tc>
          <w:tcPr>
            <w:tcW w:w="1842" w:type="dxa"/>
          </w:tcPr>
          <w:p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Депозит</w:t>
            </w:r>
          </w:p>
          <w:p w:rsidR="006A0CC5" w:rsidRDefault="006A0CC5" w:rsidP="006A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(динара)</w:t>
            </w:r>
          </w:p>
        </w:tc>
      </w:tr>
      <w:tr w:rsidR="006A0CC5" w:rsidTr="0021711D">
        <w:trPr>
          <w:trHeight w:val="2825"/>
        </w:trPr>
        <w:tc>
          <w:tcPr>
            <w:tcW w:w="5524" w:type="dxa"/>
          </w:tcPr>
          <w:p w:rsidR="006A0CC5" w:rsidRPr="00AB08F6" w:rsidRDefault="006A0CC5" w:rsidP="006A0CC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A0CC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Имовинска целина  I -  </w:t>
            </w:r>
            <w:r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„Пословни простор</w:t>
            </w:r>
            <w:r w:rsidR="00CB0F65"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 првом спрату</w:t>
            </w:r>
            <w:r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" у Нишу, Балканска бр.2</w:t>
            </w:r>
            <w:r w:rsid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E219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6A0CC5" w:rsidRPr="00AB08F6" w:rsidRDefault="002E1C44" w:rsidP="006A0CC5">
            <w:pPr>
              <w:pStyle w:val="ListParagraph"/>
              <w:ind w:left="38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B0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CC5"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A0CC5"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ab/>
              <w:t>У оквиру Пословне зграде за коју није утврђена делатност, број зграде 1, површина основе 344</w:t>
            </w:r>
            <w:r w:rsidR="005468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A0CC5"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м2, у улици Балканској бр.2а у Нишу, изграђена на катастарској парцели 322/3, уписана у лист непокретности 263 КО Ниш-Бубањ В лист 1 део, објекат преузет из земљишне књиге, и то: </w:t>
            </w:r>
          </w:p>
          <w:p w:rsidR="006A0CC5" w:rsidRPr="00AB08F6" w:rsidRDefault="006A0CC5" w:rsidP="006A0CC5">
            <w:pPr>
              <w:pStyle w:val="ListParagraph"/>
              <w:ind w:left="1021" w:hanging="1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 Пословни простор</w:t>
            </w:r>
            <w:r w:rsid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</w:t>
            </w:r>
            <w:r w:rsid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 простор</w:t>
            </w:r>
            <w:r w:rsidR="005468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</w:t>
            </w: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ја за које није утврђена делатност </w:t>
            </w:r>
            <w:r w:rsidR="00F821E7"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ПОСЛОВНИ ПРОСТОР – посебан део </w:t>
            </w:r>
            <w:r w:rsidR="00C328C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</w:t>
            </w: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рој 5</w:t>
            </w:r>
            <w:r w:rsidR="00AB08F6"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уписан у лист непокретности 263 КО Ниш-Бубањ В лист 2 део</w:t>
            </w: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 површине 283 м2, у друштвеној својини, власништво стечајног дужника са</w:t>
            </w:r>
            <w:r w:rsidR="008646E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обимом удела</w:t>
            </w: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1/1, који се налази на првом спрату;</w:t>
            </w:r>
          </w:p>
          <w:p w:rsidR="002E1C44" w:rsidRPr="00AB08F6" w:rsidRDefault="002E1C44" w:rsidP="00AB08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44" w:rsidRPr="00AB08F6" w:rsidRDefault="002E1C44" w:rsidP="00AB08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A0CC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Имовинска целина 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A0CC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-  „</w:t>
            </w:r>
            <w:r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Пословни простор</w:t>
            </w:r>
            <w:r w:rsidR="00CB0F65" w:rsidRPr="00AB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F65" w:rsidRPr="00AB08F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CB0F65" w:rsidRPr="00AB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F65" w:rsidRPr="00AB08F6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proofErr w:type="spellEnd"/>
            <w:r w:rsidR="00CB0F65" w:rsidRPr="00AB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F65" w:rsidRPr="00AB08F6">
              <w:rPr>
                <w:rFonts w:ascii="Times New Roman" w:hAnsi="Times New Roman" w:cs="Times New Roman"/>
                <w:sz w:val="24"/>
                <w:szCs w:val="24"/>
              </w:rPr>
              <w:t>спрату</w:t>
            </w:r>
            <w:proofErr w:type="spellEnd"/>
            <w:r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опрема према спецификацији" у Нишу, Балканска бр.2</w:t>
            </w:r>
            <w:r w:rsidR="00AB08F6"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E219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2E1C44" w:rsidRPr="00AB08F6" w:rsidRDefault="00E21904" w:rsidP="002E1C44">
            <w:pPr>
              <w:pStyle w:val="ListParagraph"/>
              <w:ind w:left="38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а) непокретна имовина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</w:t>
            </w:r>
            <w:r w:rsidR="00AB08F6"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  <w:r w:rsidR="002E1C44"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оквиру Пословне зграде за коју није утврђена делатност, број зграде 1, површина основе 344</w:t>
            </w:r>
            <w:r w:rsidR="005468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E1C44" w:rsidRPr="00AB08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м2, у улици Балканској бр.2а у Нишу, изграђена на катастарској парцели 322/3, уписана у лист непокретности 263 КО Ниш-Бубањ В лист 1 део, објекат преузет из земљишне књиге, и то: </w:t>
            </w:r>
          </w:p>
          <w:p w:rsidR="00AB08F6" w:rsidRPr="00AB08F6" w:rsidRDefault="00AB08F6" w:rsidP="002E1C44">
            <w:pPr>
              <w:pStyle w:val="ListParagraph"/>
              <w:numPr>
                <w:ilvl w:val="0"/>
                <w:numId w:val="7"/>
              </w:numPr>
              <w:ind w:left="1021" w:hanging="2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Пословни простор за који није </w:t>
            </w: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утврђена делатност,  посебан део број 3 уписан у лист непокретности 263 КО Ниш-Бубањ В лист 2 део, површине 142 м2, у друштвеној својини, власништво стечајног дужника са </w:t>
            </w:r>
            <w:proofErr w:type="spellStart"/>
            <w:r w:rsidR="008646E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са</w:t>
            </w:r>
            <w:proofErr w:type="spellEnd"/>
            <w:r w:rsidR="008646E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обимом удела</w:t>
            </w:r>
            <w:r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1/1, који се налази на другом  спрату;</w:t>
            </w:r>
          </w:p>
          <w:p w:rsidR="00AB08F6" w:rsidRPr="00AB08F6" w:rsidRDefault="00490140" w:rsidP="0000452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Удео од ½ </w:t>
            </w:r>
            <w:r w:rsidR="00AB08F6"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Пословн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ог</w:t>
            </w:r>
            <w:r w:rsidR="00AB08F6"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простор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="00AB08F6"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који није утврђена делатност САНИТАРНИ ЧВОР СА ХОДНИКОМ – посебан део број 4 уписан у лист непокретности 263 КО Ниш-Бубањ В лист 2 део, површине 57 м2, у друштвеној својини, власништво стечајног дужника са уделом од ½</w:t>
            </w:r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ЈЕДИНСТВЕНЕ СИНДИКАЛНЕ ОРГАНИЗАЦИЈЕ ЕЛЕКТРОНСКЕ ИНДУСТРИЈЕ НИШ, </w:t>
            </w:r>
            <w:proofErr w:type="spellStart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>Ниша</w:t>
            </w:r>
            <w:proofErr w:type="spellEnd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>Булева</w:t>
            </w:r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>светог</w:t>
            </w:r>
            <w:proofErr w:type="spellEnd"/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>цара</w:t>
            </w:r>
            <w:proofErr w:type="spellEnd"/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Константина</w:t>
            </w:r>
            <w:proofErr w:type="spellEnd"/>
            <w:r w:rsid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86 80</w:t>
            </w:r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>уделом</w:t>
            </w:r>
            <w:proofErr w:type="spellEnd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="00004527" w:rsidRPr="00004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½</w:t>
            </w:r>
            <w:r w:rsidR="00AB08F6" w:rsidRPr="00AB08F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 који се налази на другом спрату;</w:t>
            </w:r>
          </w:p>
          <w:p w:rsidR="002E1C44" w:rsidRPr="00E978D4" w:rsidRDefault="002E1C44" w:rsidP="002E1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C44" w:rsidRPr="00E21904" w:rsidRDefault="002E1C44" w:rsidP="002E1C44">
            <w:pPr>
              <w:pStyle w:val="ListParagraph"/>
              <w:ind w:left="1021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б) </w:t>
            </w:r>
            <w:r w:rsidRPr="002171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Покретна имовина </w:t>
            </w:r>
            <w:r w:rsidRPr="00E219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опрема која се састоји од:</w:t>
            </w:r>
          </w:p>
          <w:p w:rsidR="002E1C44" w:rsidRPr="00F821E7" w:rsidRDefault="002E1C44" w:rsidP="002E1C4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Канцеларијски инвентар и опрема     комада     221</w:t>
            </w:r>
          </w:p>
          <w:p w:rsidR="002E1C44" w:rsidRPr="00F821E7" w:rsidRDefault="002E1C44" w:rsidP="002E1C4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Шиваћа машина стона Brother             комада         1</w:t>
            </w:r>
          </w:p>
          <w:p w:rsidR="002E1C44" w:rsidRDefault="002E1C44" w:rsidP="002E1C4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Кухињски инвентар                                 комада         4</w:t>
            </w:r>
          </w:p>
          <w:p w:rsidR="00F821E7" w:rsidRPr="00AB08F6" w:rsidRDefault="00F821E7" w:rsidP="00AB08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821E7" w:rsidRPr="00E21904" w:rsidRDefault="0021711D" w:rsidP="00F821E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Имовинска целина II</w:t>
            </w:r>
            <w:r w:rsidR="00CB0F6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- </w:t>
            </w:r>
            <w:r w:rsidR="00F821E7" w:rsidRPr="00E219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„Магацински комплекс у Мрамору и опрема и залихе према спецификацији"</w:t>
            </w:r>
          </w:p>
          <w:p w:rsidR="00F821E7" w:rsidRPr="00E21904" w:rsidRDefault="00F821E7" w:rsidP="00E21904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а)</w:t>
            </w:r>
            <w:r w:rsidR="00E21904"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непокретна имовина</w:t>
            </w:r>
            <w:r w:rsidR="00E219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</w:t>
            </w:r>
            <w:r w:rsidRPr="00E219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Магацински комплекс у Мрамору, који се састоји од:</w:t>
            </w:r>
          </w:p>
          <w:p w:rsidR="00E21904" w:rsidRPr="00FB4448" w:rsidRDefault="00F821E7" w:rsidP="00FB4448">
            <w:pPr>
              <w:pStyle w:val="ListParagraph"/>
              <w:ind w:left="1163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ab/>
            </w:r>
            <w:r w:rsidR="00E21904"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пољопривредног земљишта на потесу Мали Поток, укупне површине 3.952</w:t>
            </w:r>
            <w:r w:rsidR="005468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21904"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м2 постојеће на катастарској парцели број 2493/1, уписано у</w:t>
            </w:r>
            <w:r w:rsidR="00E42B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А лист</w:t>
            </w:r>
            <w:r w:rsidR="00E21904"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лист</w:t>
            </w:r>
            <w:r w:rsidR="00E42B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="00E21904"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непокретности број 1327 КО Мрамор, на коме је стечајни дужник уписан као власник у целости</w:t>
            </w:r>
            <w:r w:rsidR="0086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46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 обимом удела</w:t>
            </w:r>
            <w:r w:rsidR="00E21904"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(1/1), врста права: својина, облик својине мешовита;</w:t>
            </w:r>
          </w:p>
          <w:p w:rsidR="00E21904" w:rsidRPr="00FB4448" w:rsidRDefault="00E21904" w:rsidP="00FB4448">
            <w:pPr>
              <w:pStyle w:val="ListParagraph"/>
              <w:ind w:left="1163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ab/>
              <w:t>зграде пословних услуга - МАГАЦИН, број зграде 1, приземна зграда укупне површине 1.027</w:t>
            </w:r>
            <w:r w:rsidR="005468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м2, објекат изграђен без одобрења за 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градњу, изграђена на </w:t>
            </w:r>
            <w:r w:rsidR="00FB4448" w:rsidRPr="00FB44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катастарској парцели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2493/1, уписана у лист непокретности 1327 КО Мрамор В лист 1 део, на којој је стечајни дужник уписан као власник у целости</w:t>
            </w:r>
            <w:r w:rsidR="008646E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са обимом удела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(1/1), облик својине мешовита;</w:t>
            </w:r>
          </w:p>
          <w:p w:rsidR="00E21904" w:rsidRPr="00FB4448" w:rsidRDefault="00E21904" w:rsidP="00FB4448">
            <w:pPr>
              <w:pStyle w:val="ListParagraph"/>
              <w:ind w:left="1163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ab/>
              <w:t>Помоћна зграда - портирница, број зграде 2, приземна зграда укупне површине 24</w:t>
            </w:r>
            <w:r w:rsidR="005468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м2, објекат изграђен без одобрења за градњу, изграђена на </w:t>
            </w:r>
            <w:r w:rsidR="00FB4448" w:rsidRPr="00FB44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катастарској парцели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2493/1, уписана у лист непокретности 1327 КО Мрамор В лист 1 део, на којој је стечајни дужник уписан као власник у целости</w:t>
            </w:r>
            <w:r w:rsidR="008646E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са обимом удела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(1/1), облик својине мешовита;</w:t>
            </w:r>
          </w:p>
          <w:p w:rsidR="00E21904" w:rsidRDefault="00E21904" w:rsidP="00E21904">
            <w:pPr>
              <w:pStyle w:val="ListParagraph"/>
              <w:ind w:left="1163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ab/>
              <w:t>Помоћна зграда - котларница, број зграде 3, приземна зграда, укупне површине 106</w:t>
            </w:r>
            <w:r w:rsidR="005468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м2, објекат изграђен без одобрења за градњу, изграђена на </w:t>
            </w:r>
            <w:r w:rsidR="00FB4448" w:rsidRPr="00FB444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катастарској парцели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2493/1, уписана у лист непокретности 1327 КО Мрамор В лист 1 део, на којој је стечајни дужник уписан као власник у целости</w:t>
            </w:r>
            <w:r w:rsidR="008646E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са обимом удела</w:t>
            </w:r>
            <w:r w:rsidRPr="00E2190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(1/1), облик својине мешовита;</w:t>
            </w:r>
          </w:p>
          <w:p w:rsidR="00546807" w:rsidRDefault="00546807" w:rsidP="00E21904">
            <w:pPr>
              <w:pStyle w:val="ListParagraph"/>
              <w:ind w:left="1163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21904" w:rsidRPr="00EC45A0" w:rsidRDefault="00E21904" w:rsidP="00E219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C45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Напомена: </w:t>
            </w:r>
            <w:r w:rsidR="00EC45A0" w:rsidRPr="00EC45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Страна физичка и правна лица не могу учествовати у куповини пољопривредног земљишта, осим физичких лица - држављана државе чланице Европске уније, уколико испуњавају услове предвиђене Законом о пољопривредном земљишту.</w:t>
            </w:r>
            <w:r w:rsidR="00EC45A0" w:rsidRPr="00EC45A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</w:t>
            </w:r>
          </w:p>
          <w:p w:rsidR="00546807" w:rsidRDefault="00546807" w:rsidP="00E21904">
            <w:pPr>
              <w:pStyle w:val="ListParagraph"/>
              <w:ind w:left="1163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Pr="00E21904" w:rsidRDefault="00F821E7" w:rsidP="00E21904">
            <w:pPr>
              <w:pStyle w:val="ListParagraph"/>
              <w:ind w:left="1163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б)</w:t>
            </w:r>
            <w:r w:rsidRPr="002171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Покретна имовина </w:t>
            </w:r>
            <w:r w:rsidRPr="00E2190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 опрема и залихе која се састоји од:</w:t>
            </w:r>
          </w:p>
          <w:p w:rsidR="00F821E7" w:rsidRPr="00F821E7" w:rsidRDefault="00F821E7" w:rsidP="00F821E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Декласирана </w:t>
            </w: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женска гардероба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комада</w:t>
            </w: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1392</w:t>
            </w:r>
          </w:p>
          <w:p w:rsidR="00F821E7" w:rsidRPr="00F821E7" w:rsidRDefault="00F821E7" w:rsidP="00F821E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Декласирана </w:t>
            </w: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мушка гардероба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комада</w:t>
            </w: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523</w:t>
            </w:r>
          </w:p>
          <w:p w:rsidR="00F821E7" w:rsidRPr="00F821E7" w:rsidRDefault="00F821E7" w:rsidP="00F821E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Декласирана</w:t>
            </w: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дечја гардероба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комада</w:t>
            </w: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1278</w:t>
            </w:r>
          </w:p>
          <w:p w:rsidR="00F821E7" w:rsidRPr="00F821E7" w:rsidRDefault="00F821E7" w:rsidP="00F821E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Декласирана роба широке потрошње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комада</w:t>
            </w: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183</w:t>
            </w:r>
          </w:p>
          <w:p w:rsidR="00884F42" w:rsidRPr="00E42BA0" w:rsidRDefault="00F821E7" w:rsidP="00E42BA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Канцеларијскиинвентар и опрема комада                 44</w:t>
            </w:r>
          </w:p>
        </w:tc>
        <w:tc>
          <w:tcPr>
            <w:tcW w:w="1984" w:type="dxa"/>
          </w:tcPr>
          <w:p w:rsidR="00F821E7" w:rsidRDefault="00E27D5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14.047.676,0</w:t>
            </w:r>
            <w:r w:rsidRPr="00E143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CB0F65" w:rsidP="0054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8.580.252,0</w:t>
            </w:r>
            <w:r w:rsidRPr="00E143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54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FE8" w:rsidRDefault="004F1FE8" w:rsidP="00AB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04527" w:rsidRDefault="00004527" w:rsidP="00AB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04527" w:rsidRDefault="00004527" w:rsidP="00AB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04527" w:rsidRDefault="00004527" w:rsidP="00AB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004527" w:rsidRDefault="00004527" w:rsidP="00AB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004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821E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4.724.578,88</w:t>
            </w: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21904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B4448" w:rsidRDefault="00FB4448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B4448" w:rsidRDefault="00FB4448" w:rsidP="00E21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B4448" w:rsidRDefault="00FB4448" w:rsidP="00E21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821E7" w:rsidRDefault="00F821E7" w:rsidP="00E21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842" w:type="dxa"/>
          </w:tcPr>
          <w:p w:rsidR="0021711D" w:rsidRDefault="00E27D57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5.619.070</w:t>
            </w:r>
            <w:r w:rsidRPr="00E1435E">
              <w:rPr>
                <w:rFonts w:ascii="Times New Roman" w:hAnsi="Times New Roman" w:cs="Times New Roman"/>
                <w:b/>
                <w:sz w:val="24"/>
                <w:szCs w:val="24"/>
              </w:rPr>
              <w:t>,40</w:t>
            </w: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CB0F65" w:rsidP="00546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3.432.101,0</w:t>
            </w:r>
            <w:r w:rsidRPr="00E143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1711D" w:rsidRDefault="00CB0F65" w:rsidP="00CB0F65">
            <w:pPr>
              <w:tabs>
                <w:tab w:val="left" w:pos="2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1711D" w:rsidRDefault="0021711D" w:rsidP="00F82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1877" w:rsidRDefault="00DD1877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54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807" w:rsidRDefault="00546807" w:rsidP="0054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527" w:rsidRDefault="00004527" w:rsidP="0054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527" w:rsidRDefault="00004527" w:rsidP="0054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527" w:rsidRDefault="00004527" w:rsidP="0054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527" w:rsidRDefault="00004527" w:rsidP="00546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1C44" w:rsidRDefault="002E1C44" w:rsidP="00217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FE8" w:rsidRDefault="004F1FE8" w:rsidP="00AB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AB0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171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1.889.831,55</w:t>
            </w: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884F42" w:rsidRDefault="00884F42" w:rsidP="002E1C4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904" w:rsidRDefault="00E21904" w:rsidP="002E1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448" w:rsidRDefault="00FB4448" w:rsidP="00E21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448" w:rsidRDefault="00FB4448" w:rsidP="00E21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11D" w:rsidRPr="00E21904" w:rsidRDefault="0021711D" w:rsidP="00E42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5EF" w:rsidRPr="003C2572" w:rsidRDefault="00B575EF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75C7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Целокупна имовина је детаљно описана у продајној документацији.</w:t>
      </w:r>
    </w:p>
    <w:p w:rsidR="00867FF3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67FF3" w:rsidRPr="003C2572" w:rsidRDefault="00867FF3" w:rsidP="006D4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Право на учешће у поступку продаје имају сва правна и физичка лица  која:</w:t>
      </w:r>
    </w:p>
    <w:p w:rsidR="00867FF3" w:rsidRPr="003C2572" w:rsidRDefault="00867FF3" w:rsidP="00867F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након </w:t>
      </w:r>
      <w:r w:rsidR="00B81322" w:rsidRPr="003C2572">
        <w:rPr>
          <w:rFonts w:ascii="Times New Roman" w:hAnsi="Times New Roman" w:cs="Times New Roman"/>
          <w:sz w:val="24"/>
          <w:szCs w:val="24"/>
          <w:lang w:val="sr-Cyrl-CS"/>
        </w:rPr>
        <w:t>преузимања предрачуна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, изврше уплату, ради откупа продајне документације, у износу од </w:t>
      </w:r>
      <w:r w:rsidRPr="006A0CC5">
        <w:rPr>
          <w:rFonts w:ascii="Times New Roman" w:hAnsi="Times New Roman" w:cs="Times New Roman"/>
          <w:b/>
          <w:sz w:val="24"/>
          <w:szCs w:val="24"/>
          <w:lang w:val="sr-Cyrl-CS"/>
        </w:rPr>
        <w:t>30.000,00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r w:rsidR="0021711D">
        <w:rPr>
          <w:rFonts w:ascii="Times New Roman" w:hAnsi="Times New Roman" w:cs="Times New Roman"/>
          <w:sz w:val="24"/>
          <w:szCs w:val="24"/>
          <w:lang w:val="sr-Cyrl-CS"/>
        </w:rPr>
        <w:t xml:space="preserve"> по имовинској целини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 w:rsidRPr="003C2572">
        <w:rPr>
          <w:rFonts w:ascii="Times New Roman" w:hAnsi="Times New Roman" w:cs="Times New Roman"/>
          <w:sz w:val="24"/>
          <w:szCs w:val="24"/>
          <w:lang w:val="sr-Cyrl-CS"/>
        </w:rPr>
        <w:t>Профактура</w:t>
      </w:r>
      <w:proofErr w:type="spellEnd"/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се може преузети сваког радног дана у периоду од 9.00 до 14.00 часова у Нишу, у улици Цара Душана, ПЦ Душанов базар, </w:t>
      </w:r>
      <w:r w:rsidRPr="003C2572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спрат, локал 119, најкасније до </w:t>
      </w:r>
      <w:r w:rsidR="00EC45A0">
        <w:rPr>
          <w:rFonts w:ascii="Times New Roman" w:hAnsi="Times New Roman" w:cs="Times New Roman"/>
          <w:b/>
          <w:sz w:val="24"/>
          <w:szCs w:val="24"/>
        </w:rPr>
        <w:t>05.03</w:t>
      </w:r>
      <w:r w:rsidR="00EC45A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>
        <w:rPr>
          <w:rFonts w:ascii="Times New Roman" w:hAnsi="Times New Roman" w:cs="Times New Roman"/>
          <w:b/>
          <w:sz w:val="24"/>
          <w:szCs w:val="24"/>
        </w:rPr>
        <w:t>9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EC4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333694" w:rsidRPr="003C2572" w:rsidRDefault="00867FF3" w:rsidP="00B34B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уплате 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депозит</w:t>
      </w:r>
      <w:r w:rsidR="00E219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11333" w:rsidRPr="003C2572">
        <w:rPr>
          <w:rFonts w:ascii="Times New Roman" w:hAnsi="Times New Roman" w:cs="Times New Roman"/>
          <w:sz w:val="24"/>
          <w:szCs w:val="24"/>
          <w:lang w:val="sr-Cyrl-CS"/>
        </w:rPr>
        <w:t>са позивом на редни број имовинске целине из огласа,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 текући рачун стечајног дужника број </w:t>
      </w:r>
      <w:r w:rsidRPr="00E42BA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160-341125-51 отворен код </w:t>
      </w:r>
      <w:proofErr w:type="spellStart"/>
      <w:r w:rsidRPr="00E42BA0">
        <w:rPr>
          <w:rFonts w:ascii="Times New Roman" w:hAnsi="Times New Roman" w:cs="Times New Roman"/>
          <w:b/>
          <w:sz w:val="24"/>
          <w:szCs w:val="24"/>
          <w:lang w:val="sr-Latn-CS"/>
        </w:rPr>
        <w:t>Banca</w:t>
      </w:r>
      <w:proofErr w:type="spellEnd"/>
      <w:r w:rsidRPr="00E42BA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E42BA0">
        <w:rPr>
          <w:rFonts w:ascii="Times New Roman" w:hAnsi="Times New Roman" w:cs="Times New Roman"/>
          <w:b/>
          <w:sz w:val="24"/>
          <w:szCs w:val="24"/>
          <w:lang w:val="sr-Latn-CS"/>
        </w:rPr>
        <w:t>Intesa</w:t>
      </w:r>
      <w:proofErr w:type="spellEnd"/>
      <w:r w:rsidRPr="00E42BA0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ad Beograd,</w:t>
      </w:r>
      <w:r w:rsidR="00E219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или положе неопозиву </w:t>
      </w:r>
      <w:r w:rsidR="008875B8" w:rsidRPr="003C2572">
        <w:rPr>
          <w:rFonts w:ascii="Times New Roman" w:hAnsi="Times New Roman" w:cs="Times New Roman"/>
          <w:sz w:val="24"/>
          <w:szCs w:val="24"/>
          <w:lang w:val="sr-Cyrl-CS"/>
        </w:rPr>
        <w:t>првокласну банкарску гаранцију наплативу на први позив, најкасније 5 радних дана пре одржавања продаје (рок за</w:t>
      </w:r>
      <w:r w:rsidR="00EC45A0">
        <w:rPr>
          <w:rFonts w:ascii="Times New Roman" w:hAnsi="Times New Roman" w:cs="Times New Roman"/>
          <w:sz w:val="24"/>
          <w:szCs w:val="24"/>
          <w:lang w:val="sr-Cyrl-CS"/>
        </w:rPr>
        <w:t xml:space="preserve"> уплату депозита је закључно са </w:t>
      </w:r>
      <w:r w:rsidR="00EC45A0" w:rsidRPr="00EC45A0">
        <w:rPr>
          <w:rFonts w:ascii="Times New Roman" w:hAnsi="Times New Roman" w:cs="Times New Roman"/>
          <w:b/>
          <w:sz w:val="24"/>
          <w:szCs w:val="24"/>
        </w:rPr>
        <w:t>05</w:t>
      </w:r>
      <w:r w:rsidR="009339DE" w:rsidRPr="00EC45A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EC45A0" w:rsidRPr="00EC45A0">
        <w:rPr>
          <w:rFonts w:ascii="Times New Roman" w:hAnsi="Times New Roman" w:cs="Times New Roman"/>
          <w:b/>
          <w:sz w:val="24"/>
          <w:szCs w:val="24"/>
        </w:rPr>
        <w:t>03</w:t>
      </w:r>
      <w:r w:rsidR="00DA133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339DE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>
        <w:rPr>
          <w:rFonts w:ascii="Times New Roman" w:hAnsi="Times New Roman" w:cs="Times New Roman"/>
          <w:b/>
          <w:sz w:val="24"/>
          <w:szCs w:val="24"/>
        </w:rPr>
        <w:t>9</w:t>
      </w:r>
      <w:r w:rsidR="00C370B9"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="008875B8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). У случају да се као депозит положи првокласна банкарска гаранција, оригинал исте се ради провере искључиво лично мора доставити Служби финансија Агенције за лиценцирање стечајних управника, Теразије 23, Београд, најкасније до </w:t>
      </w:r>
      <w:r w:rsidR="00EC45A0">
        <w:rPr>
          <w:rFonts w:ascii="Times New Roman" w:hAnsi="Times New Roman" w:cs="Times New Roman"/>
          <w:b/>
          <w:sz w:val="24"/>
          <w:szCs w:val="24"/>
        </w:rPr>
        <w:t>05</w:t>
      </w:r>
      <w:r w:rsidR="009339D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EC45A0">
        <w:rPr>
          <w:rFonts w:ascii="Times New Roman" w:hAnsi="Times New Roman" w:cs="Times New Roman"/>
          <w:b/>
          <w:sz w:val="24"/>
          <w:szCs w:val="24"/>
        </w:rPr>
        <w:t>03</w:t>
      </w:r>
      <w:r w:rsidR="00DA133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339DE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>
        <w:rPr>
          <w:rFonts w:ascii="Times New Roman" w:hAnsi="Times New Roman" w:cs="Times New Roman"/>
          <w:b/>
          <w:sz w:val="24"/>
          <w:szCs w:val="24"/>
        </w:rPr>
        <w:t>9</w:t>
      </w:r>
      <w:r w:rsidR="00B34BDE" w:rsidRPr="00B34BD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године 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>до 14.00 часова по београдском времену (</w:t>
      </w:r>
      <w:r w:rsidR="00333694" w:rsidRPr="003C2572">
        <w:rPr>
          <w:rFonts w:ascii="Times New Roman" w:hAnsi="Times New Roman" w:cs="Times New Roman"/>
          <w:sz w:val="24"/>
          <w:szCs w:val="24"/>
          <w:lang w:val="sr-Latn-CS"/>
        </w:rPr>
        <w:t>G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>МТ</w:t>
      </w:r>
      <w:r w:rsidR="00C370B9">
        <w:rPr>
          <w:rFonts w:ascii="Times New Roman" w:hAnsi="Times New Roman" w:cs="Times New Roman"/>
          <w:sz w:val="24"/>
          <w:szCs w:val="24"/>
        </w:rPr>
        <w:t>+</w:t>
      </w:r>
      <w:r w:rsidR="00B34BDE">
        <w:rPr>
          <w:rFonts w:ascii="Times New Roman" w:hAnsi="Times New Roman" w:cs="Times New Roman"/>
          <w:sz w:val="24"/>
          <w:szCs w:val="24"/>
        </w:rPr>
        <w:t>1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). У обзир ће се узети само банкарске гаранције које пристигну на назначену адресу у назначено време. Банкарска гаранција мора имати </w:t>
      </w:r>
      <w:r w:rsidR="009339D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 важења до </w:t>
      </w:r>
      <w:r w:rsidR="00EC45A0">
        <w:rPr>
          <w:rFonts w:ascii="Times New Roman" w:hAnsi="Times New Roman" w:cs="Times New Roman"/>
          <w:b/>
          <w:sz w:val="24"/>
          <w:szCs w:val="24"/>
        </w:rPr>
        <w:t>01</w:t>
      </w:r>
      <w:r w:rsidR="009339D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EC45A0">
        <w:rPr>
          <w:rFonts w:ascii="Times New Roman" w:hAnsi="Times New Roman" w:cs="Times New Roman"/>
          <w:b/>
          <w:sz w:val="24"/>
          <w:szCs w:val="24"/>
        </w:rPr>
        <w:t>05</w:t>
      </w:r>
      <w:r w:rsidR="00333694" w:rsidRPr="00B34BD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333694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>
        <w:rPr>
          <w:rFonts w:ascii="Times New Roman" w:hAnsi="Times New Roman" w:cs="Times New Roman"/>
          <w:b/>
          <w:sz w:val="24"/>
          <w:szCs w:val="24"/>
        </w:rPr>
        <w:t>9</w:t>
      </w:r>
      <w:r w:rsidR="00333694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године. </w:t>
      </w:r>
    </w:p>
    <w:p w:rsidR="00D8776F" w:rsidRPr="003C2572" w:rsidRDefault="00D8776F" w:rsidP="003336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потпишу изјаву о губитку права на враћање допозита. Изјава чини саставни део продајне документације.</w:t>
      </w:r>
    </w:p>
    <w:p w:rsidR="00D8776F" w:rsidRPr="003C2572" w:rsidRDefault="00D8776F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776F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Имовина се купује у виђеном стању и може се разгледати након откупа продајне документ</w:t>
      </w:r>
      <w:r w:rsidR="00211333" w:rsidRPr="003C2572">
        <w:rPr>
          <w:rFonts w:ascii="Times New Roman" w:hAnsi="Times New Roman" w:cs="Times New Roman"/>
          <w:sz w:val="24"/>
          <w:szCs w:val="24"/>
          <w:lang w:val="sr-Cyrl-CS"/>
        </w:rPr>
        <w:t>ације, сваким радним даном од 10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E08F3">
        <w:rPr>
          <w:rFonts w:ascii="Times New Roman" w:hAnsi="Times New Roman" w:cs="Times New Roman"/>
          <w:sz w:val="24"/>
          <w:szCs w:val="24"/>
          <w:lang w:val="sr-Cyrl-CS"/>
        </w:rPr>
        <w:t>00 до 14.00 часова, најкасније 5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радних дана пре заказане продаје (уз претходну најаву поверенику стечајног управника).</w:t>
      </w:r>
    </w:p>
    <w:p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Након уплате депозита, а најкасније </w:t>
      </w:r>
      <w:r w:rsidR="00EC45A0" w:rsidRPr="00EC45A0">
        <w:rPr>
          <w:rFonts w:ascii="Times New Roman" w:hAnsi="Times New Roman" w:cs="Times New Roman"/>
          <w:b/>
          <w:sz w:val="24"/>
          <w:szCs w:val="24"/>
        </w:rPr>
        <w:t>07</w:t>
      </w:r>
      <w:r w:rsidR="009339DE" w:rsidRPr="00EC45A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EC45A0" w:rsidRPr="00EC45A0">
        <w:rPr>
          <w:rFonts w:ascii="Times New Roman" w:hAnsi="Times New Roman" w:cs="Times New Roman"/>
          <w:b/>
          <w:sz w:val="24"/>
          <w:szCs w:val="24"/>
        </w:rPr>
        <w:t>03</w:t>
      </w:r>
      <w:r w:rsidR="00B34BDE" w:rsidRPr="00EC45A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339DE" w:rsidRPr="00EC45A0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 w:rsidRPr="00EC45A0">
        <w:rPr>
          <w:rFonts w:ascii="Times New Roman" w:hAnsi="Times New Roman" w:cs="Times New Roman"/>
          <w:b/>
          <w:sz w:val="24"/>
          <w:szCs w:val="24"/>
        </w:rPr>
        <w:t>9</w:t>
      </w:r>
      <w:r w:rsidR="00B34BDE" w:rsidRPr="00EC45A0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Pr="00B34BD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потенцијални купци, ради правовремене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уплтати депозита или копију банкарске гаранције, потписану изјаву о губитку права на повраћај депозита, извод из регистра прив</w:t>
      </w:r>
      <w:r w:rsidR="00490140">
        <w:rPr>
          <w:rFonts w:ascii="Times New Roman" w:hAnsi="Times New Roman" w:cs="Times New Roman"/>
          <w:sz w:val="24"/>
          <w:szCs w:val="24"/>
          <w:lang w:val="sr-Cyrl-CS"/>
        </w:rPr>
        <w:t>редних субјеката и ОП образац (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ако се као потенцијални купац пријављује правно лице), овлашћење за заступање, уколик</w:t>
      </w:r>
      <w:r w:rsidR="00B34BDE">
        <w:rPr>
          <w:rFonts w:ascii="Times New Roman" w:hAnsi="Times New Roman" w:cs="Times New Roman"/>
          <w:sz w:val="24"/>
          <w:szCs w:val="24"/>
        </w:rPr>
        <w:t>o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јавном надметању не присуствује потенцијални купац лично (за физичка лица) или законски заступник (за правна лица).</w:t>
      </w:r>
    </w:p>
    <w:p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Јавно надметање </w:t>
      </w:r>
      <w:proofErr w:type="spellStart"/>
      <w:r w:rsidR="003A0F46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оддржаће</w:t>
      </w:r>
      <w:proofErr w:type="spellEnd"/>
      <w:r w:rsidR="003A0F46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 дана </w:t>
      </w:r>
      <w:r w:rsidR="00EC45A0">
        <w:rPr>
          <w:rFonts w:ascii="Times New Roman" w:hAnsi="Times New Roman" w:cs="Times New Roman"/>
          <w:b/>
          <w:sz w:val="24"/>
          <w:szCs w:val="24"/>
        </w:rPr>
        <w:t>12.03</w:t>
      </w:r>
      <w:r w:rsidR="00C370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3A0F46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201</w:t>
      </w:r>
      <w:r w:rsidR="009339DE">
        <w:rPr>
          <w:rFonts w:ascii="Times New Roman" w:hAnsi="Times New Roman" w:cs="Times New Roman"/>
          <w:b/>
          <w:sz w:val="24"/>
          <w:szCs w:val="24"/>
        </w:rPr>
        <w:t>9</w:t>
      </w:r>
      <w:r w:rsidR="003A0F46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. г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одине у </w:t>
      </w:r>
      <w:r w:rsidR="008646EA">
        <w:rPr>
          <w:rFonts w:ascii="Times New Roman" w:hAnsi="Times New Roman" w:cs="Times New Roman"/>
          <w:b/>
          <w:sz w:val="24"/>
          <w:szCs w:val="24"/>
        </w:rPr>
        <w:t>12:</w:t>
      </w:r>
      <w:r w:rsidR="008646EA">
        <w:rPr>
          <w:rFonts w:ascii="Times New Roman" w:hAnsi="Times New Roman" w:cs="Times New Roman"/>
          <w:b/>
          <w:sz w:val="24"/>
          <w:szCs w:val="24"/>
          <w:lang w:val="sr-Cyrl-RS"/>
        </w:rPr>
        <w:t>00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часова на следећој адреси: Агенција за 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лиценцирање стечајних управника – Центар за стечај, Београд, Теразије бр.23, </w:t>
      </w:r>
      <w:r w:rsidRPr="00C370B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III 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спрат, сала </w:t>
      </w:r>
      <w:r w:rsidR="00C370B9" w:rsidRPr="00C370B9">
        <w:rPr>
          <w:rFonts w:ascii="Times New Roman" w:hAnsi="Times New Roman" w:cs="Times New Roman"/>
          <w:b/>
          <w:sz w:val="24"/>
          <w:szCs w:val="24"/>
        </w:rPr>
        <w:t>301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Регистрација учесника почиње два сата пре почетка ја</w:t>
      </w:r>
      <w:r w:rsidR="00211333"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>вног надметања, а завршава се 1</w:t>
      </w:r>
      <w:r w:rsidR="008646EA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минута пре почетка јавног надметања, односно у периоду од </w:t>
      </w:r>
      <w:r w:rsidR="00C370B9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0:00 до </w:t>
      </w:r>
      <w:r w:rsidR="00C370B9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8646EA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  <w:r w:rsidR="008646EA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C370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0 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часова, на истој адреси. </w:t>
      </w:r>
    </w:p>
    <w:p w:rsidR="00524C50" w:rsidRPr="003C2572" w:rsidRDefault="00524C50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4C50" w:rsidRPr="003C2572" w:rsidRDefault="00983A8B" w:rsidP="00D87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Стечајни управник спроводи јавно надметање тако што:</w:t>
      </w:r>
    </w:p>
    <w:p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региструје лица која имају право учеш</w:t>
      </w:r>
      <w:r w:rsidR="00430A79" w:rsidRPr="003C2572">
        <w:rPr>
          <w:rFonts w:ascii="Times New Roman" w:hAnsi="Times New Roman" w:cs="Times New Roman"/>
          <w:sz w:val="24"/>
          <w:szCs w:val="24"/>
          <w:lang w:val="sr-Cyrl-CS"/>
        </w:rPr>
        <w:t>ћа на јавном надметању (имају ов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лашћења или су лично присутна);</w:t>
      </w:r>
    </w:p>
    <w:p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отвара јавно надметање читајући правила надметања;</w:t>
      </w:r>
    </w:p>
    <w:p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позива учеснике да прихвате понуђену цену према унапред утврђеним корацима увећања;</w:t>
      </w:r>
    </w:p>
    <w:p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одржава ред на јавном надметању;</w:t>
      </w:r>
    </w:p>
    <w:p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проглашава за купца учасника који је прихватио највићу понуђену цену;</w:t>
      </w:r>
    </w:p>
    <w:p w:rsidR="00983A8B" w:rsidRPr="003C2572" w:rsidRDefault="00983A8B" w:rsidP="00983A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потписује записник.</w:t>
      </w:r>
    </w:p>
    <w:p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У случају да на јавном надметању победи Купац који је депозит об</w:t>
      </w:r>
      <w:r w:rsidR="001049B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збедио банкарском гаранцијом, исти мора уплатити износ депозита на рачун стечајног дужника у року од два радна дана од дана јавно</w:t>
      </w:r>
      <w:r w:rsidR="00F119BB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надметања,</w:t>
      </w:r>
      <w:r w:rsidR="003410F1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а пре потписивања купопродајног уговора,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након чега ће му бити враћена гаранција;</w:t>
      </w:r>
    </w:p>
    <w:p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3A8B" w:rsidRPr="003C2572" w:rsidRDefault="00983A8B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Закључењу купопродајног уговора у закон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м прописаној форми приступа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 xml:space="preserve"> се у року од 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 </w:t>
      </w:r>
      <w:r w:rsidR="00461608" w:rsidRPr="00461608">
        <w:rPr>
          <w:rFonts w:ascii="Times New Roman" w:hAnsi="Times New Roman" w:cs="Times New Roman"/>
          <w:b/>
          <w:sz w:val="24"/>
          <w:szCs w:val="24"/>
          <w:lang w:val="sr-Cyrl-CS"/>
        </w:rPr>
        <w:t>радн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E219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61608" w:rsidRPr="00461608">
        <w:rPr>
          <w:rFonts w:ascii="Times New Roman" w:hAnsi="Times New Roman" w:cs="Times New Roman"/>
          <w:b/>
          <w:sz w:val="24"/>
          <w:szCs w:val="24"/>
          <w:lang w:val="sr-Cyrl-CS"/>
        </w:rPr>
        <w:t>дана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под у</w:t>
      </w:r>
      <w:r w:rsidR="00E42BA0">
        <w:rPr>
          <w:rFonts w:ascii="Times New Roman" w:hAnsi="Times New Roman" w:cs="Times New Roman"/>
          <w:sz w:val="24"/>
          <w:szCs w:val="24"/>
          <w:lang w:val="sr-Cyrl-CS"/>
        </w:rPr>
        <w:t>словом да је депозит који је обе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FB4448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3C25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закључења купопродајног уговора у законом прописаној форми. Ако проглашени купац одбије да потпише купопродајни уговор у зако</w:t>
      </w:r>
      <w:r w:rsidR="00D16206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ном прописаној 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D16206" w:rsidRPr="003C2572">
        <w:rPr>
          <w:rFonts w:ascii="Times New Roman" w:hAnsi="Times New Roman" w:cs="Times New Roman"/>
          <w:sz w:val="24"/>
          <w:szCs w:val="24"/>
          <w:lang w:val="sr-Cyrl-CS"/>
        </w:rPr>
        <w:t>орми, или не упла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ти купопродајну цену у прописаним роковима и по прописаној п</w:t>
      </w:r>
      <w:r w:rsidR="00461608">
        <w:rPr>
          <w:rFonts w:ascii="Times New Roman" w:hAnsi="Times New Roman" w:cs="Times New Roman"/>
          <w:sz w:val="24"/>
          <w:szCs w:val="24"/>
          <w:lang w:val="sr-Cyrl-CS"/>
        </w:rPr>
        <w:t>роцедури, губи право на повраћај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депозита, а за купца се проглашава други најбољи понуђач. Други најбољи 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>понуђач има иста права и обавезе као проглашени купац. У случају да је други најбољи понуђач на јавном надметању депозит об</w:t>
      </w:r>
      <w:r w:rsidR="001049B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>збедио банкарском гаранцијом, након одустајања проглашеног купца, исти мора уплатити износ депозита н</w:t>
      </w:r>
      <w:r w:rsidR="00770E7E" w:rsidRPr="003C2572">
        <w:rPr>
          <w:rFonts w:ascii="Times New Roman" w:hAnsi="Times New Roman" w:cs="Times New Roman"/>
          <w:sz w:val="24"/>
          <w:szCs w:val="24"/>
          <w:lang w:val="sr-Cyrl-CS"/>
        </w:rPr>
        <w:t>а рачун стечајног дужника у року</w:t>
      </w:r>
      <w:r w:rsidR="00FE06A7">
        <w:rPr>
          <w:rFonts w:ascii="Times New Roman" w:hAnsi="Times New Roman" w:cs="Times New Roman"/>
          <w:sz w:val="24"/>
          <w:szCs w:val="24"/>
          <w:lang w:val="sr-Cyrl-CS"/>
        </w:rPr>
        <w:t xml:space="preserve"> од два радна дана од при</w:t>
      </w:r>
      <w:r w:rsidR="00003DE8" w:rsidRPr="003C2572">
        <w:rPr>
          <w:rFonts w:ascii="Times New Roman" w:hAnsi="Times New Roman" w:cs="Times New Roman"/>
          <w:sz w:val="24"/>
          <w:szCs w:val="24"/>
          <w:lang w:val="sr-Cyrl-CS"/>
        </w:rPr>
        <w:t>јема обавештења којим се проглашава за купца, након чега ће му бити враћена гаранција.</w:t>
      </w:r>
      <w:r w:rsidR="00770E7E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У конкретном случају, купопродајни уговор потписује се у року од три радна дана од пријема обавештења којим се други најбољи понуђач проглашава за купца.</w:t>
      </w:r>
    </w:p>
    <w:p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Све порезе и трошкове који произилазе из закљученог купопродајног уговора у целости сноси купац.</w:t>
      </w:r>
    </w:p>
    <w:p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3DE8" w:rsidRPr="003C2572" w:rsidRDefault="00003DE8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 РС“ бр.51/2009</w:t>
      </w:r>
      <w:r w:rsidR="00FE06A7">
        <w:rPr>
          <w:rFonts w:ascii="Times New Roman" w:hAnsi="Times New Roman" w:cs="Times New Roman"/>
          <w:sz w:val="24"/>
          <w:szCs w:val="24"/>
          <w:lang w:val="sr-Cyrl-CS"/>
        </w:rPr>
        <w:t xml:space="preserve"> и 95/2013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), услови и рокови закључења уговора биће прилагођени роковим</w:t>
      </w:r>
      <w:r w:rsidR="00FE06A7">
        <w:rPr>
          <w:rFonts w:ascii="Times New Roman" w:hAnsi="Times New Roman" w:cs="Times New Roman"/>
          <w:sz w:val="24"/>
          <w:szCs w:val="24"/>
          <w:lang w:val="sr-Cyrl-CS"/>
        </w:rPr>
        <w:t>а одлучивања Комисије за заш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 Другом најповољнијем</w:t>
      </w:r>
      <w:r w:rsidR="004E4F37"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 понуђачу депозит или банкарска гаранција (уколико је износ депозита обазбеђен гаранцијом) биће задржани до доношења одлуке Комисије за заштиту конкуренције по п</w:t>
      </w:r>
      <w:r w:rsidR="00FE06A7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E4F37" w:rsidRPr="003C2572">
        <w:rPr>
          <w:rFonts w:ascii="Times New Roman" w:hAnsi="Times New Roman" w:cs="Times New Roman"/>
          <w:sz w:val="24"/>
          <w:szCs w:val="24"/>
          <w:lang w:val="sr-Cyrl-CS"/>
        </w:rPr>
        <w:t>днетој пријави Купца.</w:t>
      </w:r>
    </w:p>
    <w:p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 xml:space="preserve">Напомена: Није дозвољено достављање оригинала банкарске гаранције пошиљком (обичном или препорученом), путем факса, </w:t>
      </w:r>
      <w:r w:rsidRPr="003C2572">
        <w:rPr>
          <w:rFonts w:ascii="Times New Roman" w:hAnsi="Times New Roman" w:cs="Times New Roman"/>
          <w:sz w:val="24"/>
          <w:szCs w:val="24"/>
          <w:lang w:val="sr-Latn-CS"/>
        </w:rPr>
        <w:t xml:space="preserve">mail-a </w:t>
      </w:r>
      <w:r w:rsidRPr="003C2572">
        <w:rPr>
          <w:rFonts w:ascii="Times New Roman" w:hAnsi="Times New Roman" w:cs="Times New Roman"/>
          <w:sz w:val="24"/>
          <w:szCs w:val="24"/>
          <w:lang w:val="sr-Cyrl-CS"/>
        </w:rPr>
        <w:t>или на други начин, осим на начин прописан у тачки 2. Услова за стицање права за учешће из овог огласа.</w:t>
      </w:r>
    </w:p>
    <w:p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2572">
        <w:rPr>
          <w:rFonts w:ascii="Times New Roman" w:hAnsi="Times New Roman" w:cs="Times New Roman"/>
          <w:sz w:val="24"/>
          <w:szCs w:val="24"/>
          <w:lang w:val="sr-Cyrl-CS"/>
        </w:rPr>
        <w:t>Овлашћено лице: повереник Раица Милићевић, тел. 063/456-320.</w:t>
      </w:r>
    </w:p>
    <w:p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4F37" w:rsidRPr="003C2572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E4F37" w:rsidRPr="00EC45A0" w:rsidRDefault="004E4F37" w:rsidP="0098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E4F37" w:rsidRPr="00EC45A0" w:rsidSect="005245F2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01"/>
    <w:multiLevelType w:val="hybridMultilevel"/>
    <w:tmpl w:val="A51485F4"/>
    <w:lvl w:ilvl="0" w:tplc="AC1072B8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 w15:restartNumberingAfterBreak="0">
    <w:nsid w:val="0B317F19"/>
    <w:multiLevelType w:val="hybridMultilevel"/>
    <w:tmpl w:val="6B46DF2A"/>
    <w:lvl w:ilvl="0" w:tplc="50EE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2751"/>
    <w:multiLevelType w:val="hybridMultilevel"/>
    <w:tmpl w:val="F9862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7A36"/>
    <w:multiLevelType w:val="hybridMultilevel"/>
    <w:tmpl w:val="96A85194"/>
    <w:lvl w:ilvl="0" w:tplc="88688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A631E0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29" w:hanging="180"/>
      </w:pPr>
    </w:lvl>
    <w:lvl w:ilvl="3" w:tplc="241A000F" w:tentative="1">
      <w:start w:val="1"/>
      <w:numFmt w:val="decimal"/>
      <w:lvlText w:val="%4."/>
      <w:lvlJc w:val="left"/>
      <w:pPr>
        <w:ind w:left="2549" w:hanging="360"/>
      </w:pPr>
    </w:lvl>
    <w:lvl w:ilvl="4" w:tplc="241A0019" w:tentative="1">
      <w:start w:val="1"/>
      <w:numFmt w:val="lowerLetter"/>
      <w:lvlText w:val="%5."/>
      <w:lvlJc w:val="left"/>
      <w:pPr>
        <w:ind w:left="3269" w:hanging="360"/>
      </w:pPr>
    </w:lvl>
    <w:lvl w:ilvl="5" w:tplc="241A001B" w:tentative="1">
      <w:start w:val="1"/>
      <w:numFmt w:val="lowerRoman"/>
      <w:lvlText w:val="%6."/>
      <w:lvlJc w:val="right"/>
      <w:pPr>
        <w:ind w:left="3989" w:hanging="180"/>
      </w:pPr>
    </w:lvl>
    <w:lvl w:ilvl="6" w:tplc="241A000F" w:tentative="1">
      <w:start w:val="1"/>
      <w:numFmt w:val="decimal"/>
      <w:lvlText w:val="%7."/>
      <w:lvlJc w:val="left"/>
      <w:pPr>
        <w:ind w:left="4709" w:hanging="360"/>
      </w:pPr>
    </w:lvl>
    <w:lvl w:ilvl="7" w:tplc="241A0019" w:tentative="1">
      <w:start w:val="1"/>
      <w:numFmt w:val="lowerLetter"/>
      <w:lvlText w:val="%8."/>
      <w:lvlJc w:val="left"/>
      <w:pPr>
        <w:ind w:left="5429" w:hanging="360"/>
      </w:pPr>
    </w:lvl>
    <w:lvl w:ilvl="8" w:tplc="241A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494B7421"/>
    <w:multiLevelType w:val="hybridMultilevel"/>
    <w:tmpl w:val="D070E04C"/>
    <w:lvl w:ilvl="0" w:tplc="AC1072B8">
      <w:numFmt w:val="bullet"/>
      <w:lvlText w:val="-"/>
      <w:lvlJc w:val="left"/>
      <w:pPr>
        <w:ind w:left="1174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0D37C89"/>
    <w:multiLevelType w:val="hybridMultilevel"/>
    <w:tmpl w:val="1DD016F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55EB1"/>
    <w:multiLevelType w:val="hybridMultilevel"/>
    <w:tmpl w:val="4822C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D43E9"/>
    <w:multiLevelType w:val="hybridMultilevel"/>
    <w:tmpl w:val="023AB9AE"/>
    <w:lvl w:ilvl="0" w:tplc="B674339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CB17F6"/>
    <w:multiLevelType w:val="hybridMultilevel"/>
    <w:tmpl w:val="2E3881B2"/>
    <w:lvl w:ilvl="0" w:tplc="7EDC2ECA">
      <w:start w:val="2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4C"/>
    <w:rsid w:val="00003DE8"/>
    <w:rsid w:val="00004527"/>
    <w:rsid w:val="0000568A"/>
    <w:rsid w:val="000D749B"/>
    <w:rsid w:val="001049B0"/>
    <w:rsid w:val="00186069"/>
    <w:rsid w:val="00211333"/>
    <w:rsid w:val="0021711D"/>
    <w:rsid w:val="00231A73"/>
    <w:rsid w:val="0027662F"/>
    <w:rsid w:val="002B4CCB"/>
    <w:rsid w:val="002E1C44"/>
    <w:rsid w:val="002E5D28"/>
    <w:rsid w:val="00333694"/>
    <w:rsid w:val="003410F1"/>
    <w:rsid w:val="00365F7D"/>
    <w:rsid w:val="003A0F46"/>
    <w:rsid w:val="003C2572"/>
    <w:rsid w:val="003F7447"/>
    <w:rsid w:val="00430A79"/>
    <w:rsid w:val="004517C1"/>
    <w:rsid w:val="00461608"/>
    <w:rsid w:val="00461CDF"/>
    <w:rsid w:val="00490140"/>
    <w:rsid w:val="004E4F37"/>
    <w:rsid w:val="004F1FE8"/>
    <w:rsid w:val="005245F2"/>
    <w:rsid w:val="00524C50"/>
    <w:rsid w:val="00535922"/>
    <w:rsid w:val="00540048"/>
    <w:rsid w:val="00541707"/>
    <w:rsid w:val="00546807"/>
    <w:rsid w:val="005E44F2"/>
    <w:rsid w:val="00600C6E"/>
    <w:rsid w:val="006663F6"/>
    <w:rsid w:val="00684BF6"/>
    <w:rsid w:val="006A0CC5"/>
    <w:rsid w:val="006A0CEA"/>
    <w:rsid w:val="006C25B8"/>
    <w:rsid w:val="006C5C7A"/>
    <w:rsid w:val="006D3573"/>
    <w:rsid w:val="006D4320"/>
    <w:rsid w:val="0073294C"/>
    <w:rsid w:val="00740EAD"/>
    <w:rsid w:val="007421A3"/>
    <w:rsid w:val="007679CA"/>
    <w:rsid w:val="00770E7E"/>
    <w:rsid w:val="0077246E"/>
    <w:rsid w:val="007A3F7F"/>
    <w:rsid w:val="007B75C7"/>
    <w:rsid w:val="008646EA"/>
    <w:rsid w:val="00867FF3"/>
    <w:rsid w:val="00884F42"/>
    <w:rsid w:val="00885774"/>
    <w:rsid w:val="008875B8"/>
    <w:rsid w:val="008A5A5F"/>
    <w:rsid w:val="009076CC"/>
    <w:rsid w:val="009339DE"/>
    <w:rsid w:val="00934D85"/>
    <w:rsid w:val="00973E6D"/>
    <w:rsid w:val="00983A8B"/>
    <w:rsid w:val="00985725"/>
    <w:rsid w:val="009D3268"/>
    <w:rsid w:val="00A1587D"/>
    <w:rsid w:val="00A22E4E"/>
    <w:rsid w:val="00A90D2C"/>
    <w:rsid w:val="00AB08F6"/>
    <w:rsid w:val="00AC136D"/>
    <w:rsid w:val="00AF5EC7"/>
    <w:rsid w:val="00B34BDE"/>
    <w:rsid w:val="00B575EF"/>
    <w:rsid w:val="00B75539"/>
    <w:rsid w:val="00B81322"/>
    <w:rsid w:val="00BA2A29"/>
    <w:rsid w:val="00BF3CE2"/>
    <w:rsid w:val="00C25E5F"/>
    <w:rsid w:val="00C27649"/>
    <w:rsid w:val="00C328CF"/>
    <w:rsid w:val="00C370B9"/>
    <w:rsid w:val="00C471B2"/>
    <w:rsid w:val="00C81363"/>
    <w:rsid w:val="00C92B66"/>
    <w:rsid w:val="00CA001F"/>
    <w:rsid w:val="00CA4246"/>
    <w:rsid w:val="00CB0F65"/>
    <w:rsid w:val="00D16206"/>
    <w:rsid w:val="00D524B0"/>
    <w:rsid w:val="00D576E4"/>
    <w:rsid w:val="00D8776F"/>
    <w:rsid w:val="00DA133E"/>
    <w:rsid w:val="00DD1877"/>
    <w:rsid w:val="00DE08F3"/>
    <w:rsid w:val="00E21904"/>
    <w:rsid w:val="00E27D57"/>
    <w:rsid w:val="00E42BA0"/>
    <w:rsid w:val="00E86C1A"/>
    <w:rsid w:val="00E978D4"/>
    <w:rsid w:val="00EB098C"/>
    <w:rsid w:val="00EC45A0"/>
    <w:rsid w:val="00F119BB"/>
    <w:rsid w:val="00F501BF"/>
    <w:rsid w:val="00F5565D"/>
    <w:rsid w:val="00F55ED2"/>
    <w:rsid w:val="00F821E7"/>
    <w:rsid w:val="00FA10BB"/>
    <w:rsid w:val="00FA6510"/>
    <w:rsid w:val="00FB000E"/>
    <w:rsid w:val="00FB4448"/>
    <w:rsid w:val="00FB59E1"/>
    <w:rsid w:val="00FE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50B91-A7B9-4F90-AD63-F724F1F0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4B0"/>
  </w:style>
  <w:style w:type="paragraph" w:styleId="Heading1">
    <w:name w:val="heading 1"/>
    <w:basedOn w:val="Normal"/>
    <w:next w:val="Normal"/>
    <w:link w:val="Heading1Char"/>
    <w:uiPriority w:val="9"/>
    <w:qFormat/>
    <w:rsid w:val="00D524B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F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9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524B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B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B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B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B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B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B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24B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524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524B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B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4B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524B0"/>
    <w:rPr>
      <w:b/>
      <w:bCs/>
    </w:rPr>
  </w:style>
  <w:style w:type="character" w:styleId="Emphasis">
    <w:name w:val="Emphasis"/>
    <w:basedOn w:val="DefaultParagraphFont"/>
    <w:uiPriority w:val="20"/>
    <w:qFormat/>
    <w:rsid w:val="00D524B0"/>
    <w:rPr>
      <w:i/>
      <w:iCs/>
    </w:rPr>
  </w:style>
  <w:style w:type="paragraph" w:styleId="NoSpacing">
    <w:name w:val="No Spacing"/>
    <w:uiPriority w:val="1"/>
    <w:qFormat/>
    <w:rsid w:val="00D524B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24B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24B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B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B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24B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24B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524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524B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524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24B0"/>
    <w:pPr>
      <w:outlineLvl w:val="9"/>
    </w:pPr>
  </w:style>
  <w:style w:type="table" w:styleId="TableGrid">
    <w:name w:val="Table Grid"/>
    <w:basedOn w:val="TableNormal"/>
    <w:uiPriority w:val="59"/>
    <w:rsid w:val="006A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3472A-29B6-4FFE-A6E2-1A3FA8AC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9323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</dc:creator>
  <cp:lastModifiedBy>Igor ID. Draskic</cp:lastModifiedBy>
  <cp:revision>2</cp:revision>
  <cp:lastPrinted>2019-01-30T11:55:00Z</cp:lastPrinted>
  <dcterms:created xsi:type="dcterms:W3CDTF">2019-01-31T07:14:00Z</dcterms:created>
  <dcterms:modified xsi:type="dcterms:W3CDTF">2019-01-31T07:14:00Z</dcterms:modified>
</cp:coreProperties>
</file>